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18" w:rsidRPr="00680971" w:rsidRDefault="00E20050" w:rsidP="00BA7E78">
      <w:pPr>
        <w:rPr>
          <w:b/>
          <w:sz w:val="20"/>
          <w:szCs w:val="20"/>
        </w:rPr>
      </w:pPr>
      <w:bookmarkStart w:id="0" w:name="OLE_LINK3"/>
      <w:r w:rsidRPr="00680971">
        <w:rPr>
          <w:noProof/>
          <w:sz w:val="20"/>
          <w:szCs w:val="20"/>
        </w:rPr>
        <w:drawing>
          <wp:inline distT="0" distB="0" distL="0" distR="0" wp14:anchorId="37862DBA" wp14:editId="319506A6">
            <wp:extent cx="2705100" cy="1581150"/>
            <wp:effectExtent l="19050" t="0" r="0" b="0"/>
            <wp:docPr id="1" name="Picture 1" descr="KSBA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BA color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93F18" w:rsidRPr="00DF7E1C" w:rsidRDefault="00493F18" w:rsidP="00BA7E78">
      <w:pPr>
        <w:jc w:val="center"/>
        <w:rPr>
          <w:b/>
        </w:rPr>
      </w:pPr>
      <w:r w:rsidRPr="00DF7E1C">
        <w:rPr>
          <w:b/>
        </w:rPr>
        <w:t>ACADEMY OF STUDIES</w:t>
      </w:r>
    </w:p>
    <w:p w:rsidR="00493F18" w:rsidRPr="00DF7E1C" w:rsidRDefault="00493F18" w:rsidP="00BA7E78">
      <w:pPr>
        <w:jc w:val="center"/>
        <w:rPr>
          <w:b/>
        </w:rPr>
      </w:pPr>
    </w:p>
    <w:p w:rsidR="00493F18" w:rsidRPr="00DF7E1C" w:rsidRDefault="00493F18" w:rsidP="00BA7E78">
      <w:pPr>
        <w:jc w:val="center"/>
        <w:rPr>
          <w:b/>
        </w:rPr>
      </w:pPr>
      <w:r w:rsidRPr="00DF7E1C">
        <w:rPr>
          <w:b/>
        </w:rPr>
        <w:t xml:space="preserve">Self-Study Credit Hours </w:t>
      </w:r>
    </w:p>
    <w:p w:rsidR="00493F18" w:rsidRPr="00DF7E1C" w:rsidRDefault="00493F18" w:rsidP="00005FA3">
      <w:pPr>
        <w:rPr>
          <w:b/>
        </w:rPr>
      </w:pPr>
    </w:p>
    <w:p w:rsidR="00493F18" w:rsidRPr="00DF7E1C" w:rsidRDefault="001B52FD" w:rsidP="00005FA3">
      <w:r w:rsidRPr="00DF7E1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F7640F" wp14:editId="53C6744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5953125" cy="0"/>
                <wp:effectExtent l="19050" t="14605" r="1905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4D51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68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05FA3" w:rsidRPr="00DF7E1C" w:rsidRDefault="00005FA3" w:rsidP="00005FA3">
      <w:pPr>
        <w:tabs>
          <w:tab w:val="left" w:pos="600"/>
        </w:tabs>
        <w:jc w:val="both"/>
      </w:pPr>
      <w:r w:rsidRPr="00DF7E1C">
        <w:t xml:space="preserve">The Kentucky School Boards Association provides each board member with options for meeting the annual training requirements as defined by </w:t>
      </w:r>
      <w:r w:rsidRPr="00DF7E1C">
        <w:rPr>
          <w:b/>
        </w:rPr>
        <w:t xml:space="preserve">702 KAR 1:115 and KRS 156.031, 156.070, 160.180.  </w:t>
      </w:r>
      <w:r w:rsidRPr="00DF7E1C">
        <w:t>These include the annual conference, summer leadership institute, fall regional meetings and winter symposium.  Training requirements may also be met by participating in local board/superintendent</w:t>
      </w:r>
      <w:r>
        <w:t xml:space="preserve"> team training provided by KSBA or through other providers that have been approved by the Kentucky Department of Education as required by statute.  KSBA has developed a technical assistance manual to assist providers in obtaining this approval and it can be accessed on the KSBA website (</w:t>
      </w:r>
      <w:hyperlink r:id="rId9" w:history="1">
        <w:r w:rsidRPr="00D749B4">
          <w:rPr>
            <w:rStyle w:val="Hyperlink"/>
          </w:rPr>
          <w:t>www.ksba.org</w:t>
        </w:r>
      </w:hyperlink>
      <w:r>
        <w:t>).</w:t>
      </w:r>
    </w:p>
    <w:p w:rsidR="00005FA3" w:rsidRPr="00DF7E1C" w:rsidRDefault="00005FA3" w:rsidP="00005FA3">
      <w:pPr>
        <w:tabs>
          <w:tab w:val="left" w:pos="600"/>
        </w:tabs>
        <w:jc w:val="both"/>
      </w:pPr>
    </w:p>
    <w:p w:rsidR="00005FA3" w:rsidRPr="00A0042E" w:rsidRDefault="00005FA3" w:rsidP="00005FA3">
      <w:r w:rsidRPr="00A0042E">
        <w:t xml:space="preserve">KSBA conferences allow time for learning from school board governance experts as well as time for networking with fellow board members throughout the state.  In-district training provided by KSBA is an opportunity for your board members and superintendent to become a more effective team by learning together, building positive relationships and applying training information directly to your situation.  </w:t>
      </w:r>
    </w:p>
    <w:p w:rsidR="00005FA3" w:rsidRPr="00A0042E" w:rsidRDefault="00005FA3" w:rsidP="00005FA3"/>
    <w:p w:rsidR="00005FA3" w:rsidRPr="003A7278" w:rsidRDefault="00005FA3" w:rsidP="00005FA3">
      <w:pPr>
        <w:rPr>
          <w:b/>
          <w:u w:val="single"/>
        </w:rPr>
      </w:pPr>
      <w:r w:rsidRPr="00A0042E">
        <w:t>On the exceptional occasion when board members have not been able to complete their annual training requirements at conferences or through</w:t>
      </w:r>
      <w:r w:rsidR="007526C8">
        <w:t xml:space="preserve"> in-district training, board members may be able to take advantage of self-study materials in the KSBA library. </w:t>
      </w:r>
      <w:r w:rsidRPr="00A0042E">
        <w:rPr>
          <w:b/>
          <w:u w:val="single"/>
        </w:rPr>
        <w:t>It is important to note, however, that self-study materials are limited and training credit will only</w:t>
      </w:r>
      <w:r w:rsidR="007526C8">
        <w:rPr>
          <w:b/>
          <w:u w:val="single"/>
        </w:rPr>
        <w:t xml:space="preserve"> be awarded once for each module</w:t>
      </w:r>
      <w:r w:rsidRPr="00A0042E">
        <w:rPr>
          <w:b/>
          <w:u w:val="single"/>
        </w:rPr>
        <w:t xml:space="preserve"> over the entire length of board member service</w:t>
      </w:r>
      <w:r w:rsidRPr="00A0042E">
        <w:rPr>
          <w:b/>
        </w:rPr>
        <w:t>.</w:t>
      </w:r>
      <w:r w:rsidR="007526C8">
        <w:rPr>
          <w:b/>
        </w:rPr>
        <w:t xml:space="preserve"> KSBA cannot guarantee that modules will be available so it is imperative for members to monitor their board hour needs closely throughout the year.</w:t>
      </w:r>
    </w:p>
    <w:p w:rsidR="00005FA3" w:rsidRDefault="00005FA3" w:rsidP="00005FA3">
      <w:pPr>
        <w:rPr>
          <w:i/>
        </w:rPr>
      </w:pPr>
    </w:p>
    <w:p w:rsidR="00005FA3" w:rsidRPr="00DF7E1C" w:rsidRDefault="007526C8" w:rsidP="00005FA3">
      <w:pPr>
        <w:tabs>
          <w:tab w:val="left" w:pos="600"/>
        </w:tabs>
        <w:jc w:val="both"/>
      </w:pPr>
      <w:r>
        <w:t>Self</w:t>
      </w:r>
      <w:r w:rsidR="00005FA3" w:rsidRPr="00DF7E1C">
        <w:t xml:space="preserve">-study options and the associated credit hours are listed in the </w:t>
      </w:r>
      <w:r w:rsidR="00005FA3" w:rsidRPr="003A7278">
        <w:rPr>
          <w:b/>
          <w:i/>
        </w:rPr>
        <w:t xml:space="preserve">Board </w:t>
      </w:r>
      <w:r w:rsidR="00005FA3">
        <w:rPr>
          <w:b/>
          <w:i/>
        </w:rPr>
        <w:t>Team Development</w:t>
      </w:r>
      <w:r w:rsidR="00005FA3" w:rsidRPr="003A7278">
        <w:rPr>
          <w:b/>
          <w:i/>
        </w:rPr>
        <w:t xml:space="preserve"> Self-Study Order Form</w:t>
      </w:r>
      <w:r w:rsidR="00005FA3" w:rsidRPr="00DF7E1C">
        <w:t xml:space="preserve"> on th</w:t>
      </w:r>
      <w:r w:rsidR="00005FA3">
        <w:t xml:space="preserve">e following </w:t>
      </w:r>
      <w:r w:rsidR="00005FA3" w:rsidRPr="00DF7E1C">
        <w:t xml:space="preserve">page. </w:t>
      </w:r>
    </w:p>
    <w:p w:rsidR="00005FA3" w:rsidRPr="00DF7E1C" w:rsidRDefault="00005FA3" w:rsidP="00005FA3">
      <w:pPr>
        <w:tabs>
          <w:tab w:val="left" w:pos="600"/>
        </w:tabs>
        <w:jc w:val="both"/>
      </w:pPr>
      <w:r w:rsidRPr="00DF7E1C">
        <w:t xml:space="preserve"> </w:t>
      </w:r>
    </w:p>
    <w:p w:rsidR="00005FA3" w:rsidRPr="00DF7E1C" w:rsidRDefault="00005FA3" w:rsidP="00005FA3">
      <w:pPr>
        <w:tabs>
          <w:tab w:val="left" w:pos="600"/>
        </w:tabs>
        <w:jc w:val="both"/>
      </w:pPr>
      <w:r w:rsidRPr="00DF7E1C">
        <w:t xml:space="preserve">After completion of the self-study material, board members will be asked to complete a brief assessment and submit documentation to KSBA certifying that the materials have been studied for a minimum of the </w:t>
      </w:r>
      <w:r>
        <w:t>indicated hour(s).  A fee of $40</w:t>
      </w:r>
      <w:r w:rsidRPr="00DF7E1C">
        <w:t xml:space="preserve"> per credit hour will be billed directly to the school district upon receipt of the completed assessment.   </w:t>
      </w:r>
    </w:p>
    <w:p w:rsidR="00005FA3" w:rsidRPr="00DF7E1C" w:rsidRDefault="00005FA3" w:rsidP="00005FA3">
      <w:pPr>
        <w:jc w:val="both"/>
      </w:pPr>
    </w:p>
    <w:p w:rsidR="00005FA3" w:rsidRPr="00DF7E1C" w:rsidRDefault="00005FA3" w:rsidP="00005FA3">
      <w:pPr>
        <w:jc w:val="both"/>
      </w:pPr>
      <w:r w:rsidRPr="00DF7E1C">
        <w:t xml:space="preserve">If you have questions regarding the self-study or your board member training requirements, please contact </w:t>
      </w:r>
      <w:r>
        <w:t xml:space="preserve">Tammie Conatser </w:t>
      </w:r>
      <w:r w:rsidRPr="00DF7E1C">
        <w:t xml:space="preserve">at the KSBA office by phone at 800-372-2962 </w:t>
      </w:r>
      <w:r>
        <w:t xml:space="preserve">ext. 1100 </w:t>
      </w:r>
      <w:r w:rsidRPr="00DF7E1C">
        <w:t xml:space="preserve">or email at </w:t>
      </w:r>
      <w:r>
        <w:t>tammie.conatser@ksba.org.</w:t>
      </w:r>
    </w:p>
    <w:p w:rsidR="00005FA3" w:rsidRPr="00DF7E1C" w:rsidRDefault="00005FA3" w:rsidP="00005FA3">
      <w:pPr>
        <w:jc w:val="both"/>
      </w:pPr>
    </w:p>
    <w:p w:rsidR="00005FA3" w:rsidRPr="00DF7E1C" w:rsidRDefault="00005FA3" w:rsidP="00005FA3">
      <w:pPr>
        <w:jc w:val="both"/>
        <w:rPr>
          <w:b/>
        </w:rPr>
      </w:pPr>
      <w:r w:rsidRPr="00DF7E1C">
        <w:rPr>
          <w:b/>
        </w:rPr>
        <w:t>No Board action is required to receive credit for the self-study of KSBA-provided material.</w:t>
      </w:r>
    </w:p>
    <w:p w:rsidR="00005FA3" w:rsidRDefault="00005FA3">
      <w:pPr>
        <w:rPr>
          <w:b/>
          <w:sz w:val="20"/>
          <w:szCs w:val="20"/>
        </w:rPr>
      </w:pPr>
    </w:p>
    <w:p w:rsidR="00005FA3" w:rsidRDefault="00005FA3">
      <w:pPr>
        <w:rPr>
          <w:b/>
          <w:sz w:val="20"/>
          <w:szCs w:val="20"/>
        </w:rPr>
      </w:pPr>
    </w:p>
    <w:p w:rsidR="00005FA3" w:rsidRDefault="00005FA3">
      <w:pPr>
        <w:rPr>
          <w:b/>
          <w:sz w:val="20"/>
          <w:szCs w:val="20"/>
        </w:rPr>
      </w:pPr>
    </w:p>
    <w:p w:rsidR="00005FA3" w:rsidRDefault="00005FA3">
      <w:pPr>
        <w:rPr>
          <w:b/>
          <w:sz w:val="20"/>
          <w:szCs w:val="20"/>
        </w:rPr>
      </w:pPr>
    </w:p>
    <w:p w:rsidR="00044518" w:rsidRPr="00680971" w:rsidRDefault="00044518">
      <w:pPr>
        <w:rPr>
          <w:b/>
          <w:sz w:val="20"/>
          <w:szCs w:val="20"/>
        </w:rPr>
      </w:pPr>
      <w:r w:rsidRPr="00680971">
        <w:rPr>
          <w:b/>
          <w:sz w:val="20"/>
          <w:szCs w:val="20"/>
        </w:rPr>
        <w:br w:type="page"/>
      </w:r>
    </w:p>
    <w:p w:rsidR="00A2599F" w:rsidRPr="00493363" w:rsidRDefault="00D8012C" w:rsidP="00D8012C">
      <w:pPr>
        <w:ind w:left="2880" w:firstLine="720"/>
        <w:rPr>
          <w:b/>
          <w:noProof/>
          <w:sz w:val="18"/>
          <w:szCs w:val="18"/>
        </w:rPr>
      </w:pPr>
      <w:r w:rsidRPr="00493363">
        <w:rPr>
          <w:b/>
          <w:noProof/>
          <w:sz w:val="18"/>
          <w:szCs w:val="18"/>
        </w:rPr>
        <w:lastRenderedPageBreak/>
        <w:t xml:space="preserve">       </w:t>
      </w:r>
      <w:r w:rsidR="00A2599F" w:rsidRPr="00493363">
        <w:rPr>
          <w:b/>
          <w:noProof/>
          <w:sz w:val="18"/>
          <w:szCs w:val="18"/>
        </w:rPr>
        <w:t xml:space="preserve">Revised </w:t>
      </w:r>
      <w:r w:rsidR="009C6879">
        <w:rPr>
          <w:b/>
          <w:noProof/>
          <w:sz w:val="18"/>
          <w:szCs w:val="18"/>
        </w:rPr>
        <w:t>November</w:t>
      </w:r>
      <w:r w:rsidR="00A2599F" w:rsidRPr="00493363">
        <w:rPr>
          <w:b/>
          <w:noProof/>
          <w:sz w:val="18"/>
          <w:szCs w:val="18"/>
        </w:rPr>
        <w:t>, 201</w:t>
      </w:r>
      <w:r w:rsidR="006878E0">
        <w:rPr>
          <w:b/>
          <w:noProof/>
          <w:sz w:val="18"/>
          <w:szCs w:val="18"/>
        </w:rPr>
        <w:t>7</w:t>
      </w:r>
    </w:p>
    <w:p w:rsidR="00044518" w:rsidRPr="00802BFA" w:rsidRDefault="00A2599F" w:rsidP="00044518">
      <w:pPr>
        <w:rPr>
          <w:sz w:val="4"/>
          <w:szCs w:val="4"/>
        </w:rPr>
      </w:pPr>
      <w:r w:rsidRPr="006809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42AF2" wp14:editId="3E305D48">
                <wp:simplePos x="0" y="0"/>
                <wp:positionH relativeFrom="margin">
                  <wp:align>right</wp:align>
                </wp:positionH>
                <wp:positionV relativeFrom="paragraph">
                  <wp:posOffset>5025</wp:posOffset>
                </wp:positionV>
                <wp:extent cx="2804188" cy="41148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88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AA6" w:rsidRPr="00F36359" w:rsidRDefault="00344AA6" w:rsidP="00044518">
                            <w:pPr>
                              <w:jc w:val="center"/>
                              <w:rPr>
                                <w:rFonts w:ascii="Baskerville Old Face" w:hAnsi="Baskerville Old Face"/>
                                <w:i/>
                                <w:u w:val="single"/>
                              </w:rPr>
                            </w:pPr>
                            <w:r w:rsidRPr="00F36359">
                              <w:rPr>
                                <w:rFonts w:ascii="Baskerville Old Face" w:hAnsi="Baskerville Old Face"/>
                                <w:b/>
                                <w:i/>
                                <w:u w:val="single"/>
                              </w:rPr>
                              <w:t>Board Team Development</w:t>
                            </w:r>
                            <w:r w:rsidRPr="00F36359">
                              <w:rPr>
                                <w:rFonts w:ascii="Baskerville Old Face" w:hAnsi="Baskerville Old Face"/>
                                <w:b/>
                                <w:i/>
                                <w:u w:val="single"/>
                              </w:rPr>
                              <w:br/>
                              <w:t>Self-Study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42A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9.6pt;margin-top:.4pt;width:220.8pt;height:32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" stroked="f">
                <v:textbox>
                  <w:txbxContent>
                    <w:p w:rsidR="00344AA6" w:rsidRPr="00F36359" w:rsidRDefault="00344AA6" w:rsidP="00044518">
                      <w:pPr>
                        <w:jc w:val="center"/>
                        <w:rPr>
                          <w:rFonts w:ascii="Baskerville Old Face" w:hAnsi="Baskerville Old Face"/>
                          <w:i/>
                          <w:u w:val="single"/>
                        </w:rPr>
                      </w:pPr>
                      <w:r w:rsidRPr="00F36359">
                        <w:rPr>
                          <w:rFonts w:ascii="Baskerville Old Face" w:hAnsi="Baskerville Old Face"/>
                          <w:b/>
                          <w:i/>
                          <w:u w:val="single"/>
                        </w:rPr>
                        <w:t>Board Team Development</w:t>
                      </w:r>
                      <w:r w:rsidRPr="00F36359">
                        <w:rPr>
                          <w:rFonts w:ascii="Baskerville Old Face" w:hAnsi="Baskerville Old Face"/>
                          <w:b/>
                          <w:i/>
                          <w:u w:val="single"/>
                        </w:rPr>
                        <w:br/>
                        <w:t>Self-Study Order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518" w:rsidRPr="00680971">
        <w:rPr>
          <w:noProof/>
          <w:sz w:val="20"/>
          <w:szCs w:val="20"/>
        </w:rPr>
        <w:drawing>
          <wp:inline distT="0" distB="0" distL="0" distR="0" wp14:anchorId="038CF3C6" wp14:editId="5170B624">
            <wp:extent cx="1252497" cy="473294"/>
            <wp:effectExtent l="0" t="0" r="5080" b="3175"/>
            <wp:docPr id="3" name="Picture 1" descr="KSBAcolo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BAcolor outl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16" cy="48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92" w:rsidRPr="000C5F6D" w:rsidRDefault="00044518" w:rsidP="008029B2">
      <w:pPr>
        <w:rPr>
          <w:b/>
          <w:sz w:val="17"/>
          <w:szCs w:val="17"/>
        </w:rPr>
      </w:pPr>
      <w:r w:rsidRPr="000C5F6D">
        <w:rPr>
          <w:b/>
          <w:sz w:val="17"/>
          <w:szCs w:val="17"/>
        </w:rPr>
        <w:t>Name of Person Requesting Self Study:___________________________________</w:t>
      </w:r>
      <w:r w:rsidR="00680971" w:rsidRPr="000C5F6D">
        <w:rPr>
          <w:b/>
          <w:sz w:val="17"/>
          <w:szCs w:val="17"/>
        </w:rPr>
        <w:t>____________</w:t>
      </w:r>
      <w:r w:rsidR="00344AA6" w:rsidRPr="000C5F6D">
        <w:rPr>
          <w:b/>
          <w:sz w:val="17"/>
          <w:szCs w:val="17"/>
        </w:rPr>
        <w:t>___________________</w:t>
      </w:r>
      <w:r w:rsidR="00680971" w:rsidRPr="000C5F6D">
        <w:rPr>
          <w:b/>
          <w:sz w:val="17"/>
          <w:szCs w:val="17"/>
        </w:rPr>
        <w:t>____</w:t>
      </w:r>
    </w:p>
    <w:p w:rsidR="00B92A37" w:rsidRPr="00802BFA" w:rsidRDefault="00B92A37" w:rsidP="008029B2">
      <w:pPr>
        <w:rPr>
          <w:b/>
          <w:sz w:val="6"/>
          <w:szCs w:val="6"/>
        </w:rPr>
      </w:pPr>
    </w:p>
    <w:p w:rsidR="00937992" w:rsidRPr="000C5F6D" w:rsidRDefault="00044518" w:rsidP="008029B2">
      <w:pPr>
        <w:rPr>
          <w:b/>
          <w:sz w:val="17"/>
          <w:szCs w:val="17"/>
        </w:rPr>
      </w:pPr>
      <w:r w:rsidRPr="000C5F6D">
        <w:rPr>
          <w:b/>
          <w:sz w:val="17"/>
          <w:szCs w:val="17"/>
        </w:rPr>
        <w:t>Name of Board Member: ______________________________________________</w:t>
      </w:r>
      <w:r w:rsidR="00680971" w:rsidRPr="000C5F6D">
        <w:rPr>
          <w:b/>
          <w:sz w:val="17"/>
          <w:szCs w:val="17"/>
        </w:rPr>
        <w:t>__________________</w:t>
      </w:r>
      <w:r w:rsidR="00344AA6" w:rsidRPr="000C5F6D">
        <w:rPr>
          <w:b/>
          <w:sz w:val="17"/>
          <w:szCs w:val="17"/>
        </w:rPr>
        <w:t>_____</w:t>
      </w:r>
      <w:r w:rsidR="00680971" w:rsidRPr="000C5F6D">
        <w:rPr>
          <w:b/>
          <w:sz w:val="17"/>
          <w:szCs w:val="17"/>
        </w:rPr>
        <w:t>_</w:t>
      </w:r>
      <w:r w:rsidR="00344AA6" w:rsidRPr="000C5F6D">
        <w:rPr>
          <w:b/>
          <w:sz w:val="17"/>
          <w:szCs w:val="17"/>
        </w:rPr>
        <w:t>______</w:t>
      </w:r>
      <w:r w:rsidR="00680971" w:rsidRPr="000C5F6D">
        <w:rPr>
          <w:b/>
          <w:sz w:val="17"/>
          <w:szCs w:val="17"/>
        </w:rPr>
        <w:t>_____</w:t>
      </w:r>
    </w:p>
    <w:p w:rsidR="00D15E39" w:rsidRPr="00802BFA" w:rsidRDefault="00D15E39" w:rsidP="008029B2">
      <w:pPr>
        <w:rPr>
          <w:b/>
          <w:sz w:val="6"/>
          <w:szCs w:val="6"/>
        </w:rPr>
      </w:pPr>
    </w:p>
    <w:p w:rsidR="008029B2" w:rsidRPr="000C5F6D" w:rsidRDefault="00044518" w:rsidP="008029B2">
      <w:pPr>
        <w:rPr>
          <w:b/>
          <w:sz w:val="17"/>
          <w:szCs w:val="17"/>
        </w:rPr>
      </w:pPr>
      <w:r w:rsidRPr="000C5F6D">
        <w:rPr>
          <w:b/>
          <w:sz w:val="17"/>
          <w:szCs w:val="17"/>
        </w:rPr>
        <w:t>Address:____________________________________________________</w:t>
      </w:r>
      <w:r w:rsidR="0069238D" w:rsidRPr="000C5F6D">
        <w:rPr>
          <w:b/>
          <w:sz w:val="17"/>
          <w:szCs w:val="17"/>
        </w:rPr>
        <w:t>City</w:t>
      </w:r>
      <w:r w:rsidRPr="000C5F6D">
        <w:rPr>
          <w:b/>
          <w:sz w:val="17"/>
          <w:szCs w:val="17"/>
        </w:rPr>
        <w:t>________________</w:t>
      </w:r>
      <w:r w:rsidR="0069238D" w:rsidRPr="000C5F6D">
        <w:rPr>
          <w:b/>
          <w:sz w:val="17"/>
          <w:szCs w:val="17"/>
        </w:rPr>
        <w:t>State</w:t>
      </w:r>
      <w:r w:rsidRPr="000C5F6D">
        <w:rPr>
          <w:b/>
          <w:sz w:val="17"/>
          <w:szCs w:val="17"/>
        </w:rPr>
        <w:t>____</w:t>
      </w:r>
      <w:r w:rsidR="0069238D" w:rsidRPr="000C5F6D">
        <w:rPr>
          <w:b/>
          <w:sz w:val="17"/>
          <w:szCs w:val="17"/>
        </w:rPr>
        <w:t>Zip</w:t>
      </w:r>
      <w:r w:rsidR="00344AA6" w:rsidRPr="000C5F6D">
        <w:rPr>
          <w:b/>
          <w:sz w:val="17"/>
          <w:szCs w:val="17"/>
        </w:rPr>
        <w:t>_____</w:t>
      </w:r>
      <w:r w:rsidRPr="000C5F6D">
        <w:rPr>
          <w:b/>
          <w:sz w:val="17"/>
          <w:szCs w:val="17"/>
        </w:rPr>
        <w:t>__</w:t>
      </w:r>
      <w:r w:rsidR="00344AA6" w:rsidRPr="000C5F6D">
        <w:rPr>
          <w:b/>
          <w:sz w:val="17"/>
          <w:szCs w:val="17"/>
        </w:rPr>
        <w:t>_____</w:t>
      </w:r>
    </w:p>
    <w:p w:rsidR="00937992" w:rsidRPr="00802BFA" w:rsidRDefault="00937992" w:rsidP="008029B2">
      <w:pPr>
        <w:rPr>
          <w:b/>
          <w:sz w:val="6"/>
          <w:szCs w:val="6"/>
        </w:rPr>
      </w:pPr>
    </w:p>
    <w:p w:rsidR="00937992" w:rsidRPr="000C5F6D" w:rsidRDefault="00044518" w:rsidP="008029B2">
      <w:pPr>
        <w:rPr>
          <w:b/>
          <w:sz w:val="17"/>
          <w:szCs w:val="17"/>
          <w:u w:val="single"/>
        </w:rPr>
      </w:pPr>
      <w:r w:rsidRPr="000C5F6D">
        <w:rPr>
          <w:b/>
          <w:sz w:val="17"/>
          <w:szCs w:val="17"/>
        </w:rPr>
        <w:t>Email Address:______________________________________________________________________________</w:t>
      </w:r>
      <w:r w:rsidR="00344AA6" w:rsidRPr="000C5F6D">
        <w:rPr>
          <w:b/>
          <w:sz w:val="17"/>
          <w:szCs w:val="17"/>
        </w:rPr>
        <w:t>__</w:t>
      </w:r>
      <w:r w:rsidRPr="000C5F6D">
        <w:rPr>
          <w:b/>
          <w:sz w:val="17"/>
          <w:szCs w:val="17"/>
        </w:rPr>
        <w:t>__</w:t>
      </w:r>
      <w:r w:rsidR="00344AA6" w:rsidRPr="000C5F6D">
        <w:rPr>
          <w:b/>
          <w:sz w:val="17"/>
          <w:szCs w:val="17"/>
        </w:rPr>
        <w:t>____</w:t>
      </w:r>
      <w:r w:rsidRPr="000C5F6D">
        <w:rPr>
          <w:b/>
          <w:sz w:val="17"/>
          <w:szCs w:val="17"/>
        </w:rPr>
        <w:t>___</w:t>
      </w:r>
    </w:p>
    <w:p w:rsidR="00D15E39" w:rsidRPr="00802BFA" w:rsidRDefault="00D15E39" w:rsidP="008029B2">
      <w:pPr>
        <w:rPr>
          <w:b/>
          <w:sz w:val="6"/>
          <w:szCs w:val="6"/>
        </w:rPr>
      </w:pPr>
    </w:p>
    <w:p w:rsidR="008029B2" w:rsidRPr="000C5F6D" w:rsidRDefault="00044518" w:rsidP="008029B2">
      <w:pPr>
        <w:rPr>
          <w:b/>
          <w:sz w:val="17"/>
          <w:szCs w:val="17"/>
        </w:rPr>
      </w:pPr>
      <w:r w:rsidRPr="000C5F6D">
        <w:rPr>
          <w:b/>
          <w:sz w:val="17"/>
          <w:szCs w:val="17"/>
        </w:rPr>
        <w:t>Phone #:___________________________________________________________________________________________</w:t>
      </w:r>
      <w:r w:rsidR="00344AA6" w:rsidRPr="000C5F6D">
        <w:rPr>
          <w:b/>
          <w:sz w:val="17"/>
          <w:szCs w:val="17"/>
        </w:rPr>
        <w:t>____</w:t>
      </w:r>
    </w:p>
    <w:p w:rsidR="00937992" w:rsidRPr="00802BFA" w:rsidRDefault="00937992" w:rsidP="008029B2">
      <w:pPr>
        <w:rPr>
          <w:b/>
          <w:sz w:val="6"/>
          <w:szCs w:val="6"/>
        </w:rPr>
      </w:pPr>
    </w:p>
    <w:p w:rsidR="00044518" w:rsidRPr="00802BFA" w:rsidRDefault="00044518" w:rsidP="008029B2">
      <w:pPr>
        <w:rPr>
          <w:b/>
          <w:sz w:val="6"/>
          <w:szCs w:val="6"/>
        </w:rPr>
      </w:pPr>
      <w:r w:rsidRPr="000C5F6D">
        <w:rPr>
          <w:b/>
          <w:sz w:val="17"/>
          <w:szCs w:val="17"/>
        </w:rPr>
        <w:t>School District:__________________________________________________________________________________</w:t>
      </w:r>
      <w:r w:rsidR="00344AA6" w:rsidRPr="000C5F6D">
        <w:rPr>
          <w:b/>
          <w:sz w:val="17"/>
          <w:szCs w:val="17"/>
        </w:rPr>
        <w:t>___</w:t>
      </w:r>
      <w:r w:rsidRPr="000C5F6D">
        <w:rPr>
          <w:b/>
          <w:sz w:val="17"/>
          <w:szCs w:val="17"/>
        </w:rPr>
        <w:t>____</w:t>
      </w:r>
    </w:p>
    <w:p w:rsidR="00044518" w:rsidRPr="000310F0" w:rsidRDefault="00044518" w:rsidP="00044518">
      <w:pPr>
        <w:spacing w:after="120"/>
        <w:rPr>
          <w:b/>
          <w:sz w:val="2"/>
          <w:szCs w:val="2"/>
        </w:rPr>
      </w:pPr>
    </w:p>
    <w:p w:rsidR="00344AA6" w:rsidRPr="00656A95" w:rsidRDefault="00344AA6" w:rsidP="00802BFA">
      <w:pPr>
        <w:rPr>
          <w:b/>
          <w:sz w:val="8"/>
          <w:szCs w:val="8"/>
        </w:rPr>
      </w:pPr>
      <w:r w:rsidRPr="000C5F6D">
        <w:rPr>
          <w:b/>
          <w:sz w:val="17"/>
          <w:szCs w:val="17"/>
        </w:rPr>
        <w:t xml:space="preserve">Please be aware that each self-study module may only be completed for credit </w:t>
      </w:r>
      <w:r w:rsidRPr="000C5F6D">
        <w:rPr>
          <w:b/>
          <w:sz w:val="17"/>
          <w:szCs w:val="17"/>
          <w:u w:val="single"/>
        </w:rPr>
        <w:t>one time</w:t>
      </w:r>
      <w:r w:rsidRPr="000C5F6D">
        <w:rPr>
          <w:b/>
          <w:sz w:val="17"/>
          <w:szCs w:val="17"/>
        </w:rPr>
        <w:t xml:space="preserve"> during a board member’s career.  Once credit has been earned, that module is not available</w:t>
      </w:r>
      <w:r w:rsidR="00E93C7A" w:rsidRPr="000C5F6D">
        <w:rPr>
          <w:b/>
          <w:sz w:val="17"/>
          <w:szCs w:val="17"/>
        </w:rPr>
        <w:t xml:space="preserve"> to that member again. Information regarding credit that has already been received can be found on your board training report.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65"/>
        <w:gridCol w:w="1260"/>
        <w:gridCol w:w="810"/>
        <w:gridCol w:w="3060"/>
      </w:tblGrid>
      <w:tr w:rsidR="00044518" w:rsidRPr="000C5F6D" w:rsidTr="00802BFA">
        <w:trPr>
          <w:trHeight w:val="458"/>
        </w:trPr>
        <w:tc>
          <w:tcPr>
            <w:tcW w:w="5665" w:type="dxa"/>
            <w:vAlign w:val="bottom"/>
          </w:tcPr>
          <w:p w:rsidR="00044518" w:rsidRPr="000C5F6D" w:rsidRDefault="00044518" w:rsidP="00F36359">
            <w:pPr>
              <w:jc w:val="center"/>
              <w:rPr>
                <w:b/>
                <w:sz w:val="17"/>
                <w:szCs w:val="17"/>
              </w:rPr>
            </w:pPr>
            <w:r w:rsidRPr="000C5F6D">
              <w:rPr>
                <w:b/>
                <w:sz w:val="17"/>
                <w:szCs w:val="17"/>
              </w:rPr>
              <w:t>Title of Self-Study</w:t>
            </w:r>
          </w:p>
        </w:tc>
        <w:tc>
          <w:tcPr>
            <w:tcW w:w="1260" w:type="dxa"/>
            <w:vAlign w:val="bottom"/>
          </w:tcPr>
          <w:p w:rsidR="00044518" w:rsidRPr="000C5F6D" w:rsidRDefault="00044518" w:rsidP="00F36359">
            <w:pPr>
              <w:jc w:val="center"/>
              <w:rPr>
                <w:b/>
                <w:sz w:val="17"/>
                <w:szCs w:val="17"/>
              </w:rPr>
            </w:pPr>
            <w:r w:rsidRPr="000C5F6D">
              <w:rPr>
                <w:b/>
                <w:sz w:val="17"/>
                <w:szCs w:val="17"/>
              </w:rPr>
              <w:t>Credit Hours</w:t>
            </w:r>
          </w:p>
        </w:tc>
        <w:tc>
          <w:tcPr>
            <w:tcW w:w="810" w:type="dxa"/>
            <w:vAlign w:val="bottom"/>
          </w:tcPr>
          <w:p w:rsidR="00044518" w:rsidRPr="000C5F6D" w:rsidRDefault="00044518" w:rsidP="00F36359">
            <w:pPr>
              <w:jc w:val="center"/>
              <w:rPr>
                <w:b/>
                <w:sz w:val="17"/>
                <w:szCs w:val="17"/>
              </w:rPr>
            </w:pPr>
            <w:r w:rsidRPr="000C5F6D">
              <w:rPr>
                <w:b/>
                <w:sz w:val="17"/>
                <w:szCs w:val="17"/>
              </w:rPr>
              <w:t>Fee</w:t>
            </w:r>
          </w:p>
        </w:tc>
        <w:tc>
          <w:tcPr>
            <w:tcW w:w="3060" w:type="dxa"/>
            <w:vAlign w:val="bottom"/>
          </w:tcPr>
          <w:p w:rsidR="00044518" w:rsidRPr="000C5F6D" w:rsidRDefault="00044518" w:rsidP="00F36359">
            <w:pPr>
              <w:jc w:val="center"/>
              <w:rPr>
                <w:b/>
                <w:sz w:val="17"/>
                <w:szCs w:val="17"/>
              </w:rPr>
            </w:pPr>
            <w:r w:rsidRPr="000C5F6D">
              <w:rPr>
                <w:b/>
                <w:sz w:val="17"/>
                <w:szCs w:val="17"/>
              </w:rPr>
              <w:t>Please Mark “x” for the ones you are selecting</w:t>
            </w:r>
          </w:p>
        </w:tc>
      </w:tr>
      <w:tr w:rsidR="00044518" w:rsidRPr="000C5F6D" w:rsidTr="00802BFA">
        <w:trPr>
          <w:trHeight w:val="251"/>
        </w:trPr>
        <w:tc>
          <w:tcPr>
            <w:tcW w:w="5665" w:type="dxa"/>
          </w:tcPr>
          <w:p w:rsidR="00044518" w:rsidRPr="000C5F6D" w:rsidRDefault="00044518" w:rsidP="00A81DC4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KSBA School Board Leadership Guide</w:t>
            </w:r>
          </w:p>
        </w:tc>
        <w:tc>
          <w:tcPr>
            <w:tcW w:w="1260" w:type="dxa"/>
          </w:tcPr>
          <w:p w:rsidR="00044518" w:rsidRPr="000C5F6D" w:rsidRDefault="00044518" w:rsidP="00A81DC4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2.5</w:t>
            </w:r>
          </w:p>
        </w:tc>
        <w:tc>
          <w:tcPr>
            <w:tcW w:w="810" w:type="dxa"/>
          </w:tcPr>
          <w:p w:rsidR="00044518" w:rsidRPr="000C5F6D" w:rsidRDefault="00044518" w:rsidP="00A81DC4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Free</w:t>
            </w:r>
          </w:p>
        </w:tc>
        <w:tc>
          <w:tcPr>
            <w:tcW w:w="3060" w:type="dxa"/>
          </w:tcPr>
          <w:p w:rsidR="00044518" w:rsidRPr="000C5F6D" w:rsidRDefault="00044518" w:rsidP="00A81DC4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DF7E1C" w:rsidRPr="000C5F6D" w:rsidTr="00802BFA">
        <w:tc>
          <w:tcPr>
            <w:tcW w:w="5665" w:type="dxa"/>
            <w:shd w:val="clear" w:color="auto" w:fill="FDE9D9" w:themeFill="accent6" w:themeFillTint="33"/>
          </w:tcPr>
          <w:p w:rsidR="00DF7E1C" w:rsidRPr="000C5F6D" w:rsidRDefault="00DF7E1C" w:rsidP="00DF7E1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Black and White and Grey of School Board Member Ethics</w:t>
            </w:r>
          </w:p>
          <w:p w:rsidR="00DF7E1C" w:rsidRPr="000C5F6D" w:rsidRDefault="00384552" w:rsidP="00675F31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(</w:t>
            </w:r>
            <w:r w:rsidR="00675F31">
              <w:rPr>
                <w:sz w:val="17"/>
                <w:szCs w:val="17"/>
              </w:rPr>
              <w:t>meets</w:t>
            </w:r>
            <w:r w:rsidRPr="000C5F6D">
              <w:rPr>
                <w:sz w:val="17"/>
                <w:szCs w:val="17"/>
              </w:rPr>
              <w:t xml:space="preserve"> annual</w:t>
            </w:r>
            <w:r w:rsidR="00DF7E1C" w:rsidRPr="000C5F6D">
              <w:rPr>
                <w:sz w:val="17"/>
                <w:szCs w:val="17"/>
              </w:rPr>
              <w:t xml:space="preserve"> </w:t>
            </w:r>
            <w:r w:rsidR="00360AA3" w:rsidRPr="000C5F6D">
              <w:rPr>
                <w:sz w:val="17"/>
                <w:szCs w:val="17"/>
              </w:rPr>
              <w:t>ethics</w:t>
            </w:r>
            <w:r w:rsidR="00DF7E1C" w:rsidRPr="000C5F6D">
              <w:rPr>
                <w:sz w:val="17"/>
                <w:szCs w:val="17"/>
              </w:rPr>
              <w:t xml:space="preserve"> training  requirement)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DF7E1C" w:rsidRPr="000C5F6D" w:rsidRDefault="00DF7E1C" w:rsidP="00A81DC4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DF7E1C" w:rsidRPr="000C5F6D" w:rsidRDefault="00DF7E1C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</w:t>
            </w:r>
            <w:r w:rsidR="00D61D8E" w:rsidRPr="000C5F6D">
              <w:rPr>
                <w:sz w:val="17"/>
                <w:szCs w:val="17"/>
              </w:rPr>
              <w:t>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DF7E1C" w:rsidRPr="000C5F6D" w:rsidRDefault="00DF7E1C" w:rsidP="00A81DC4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EE74F8" w:rsidRPr="000C5F6D" w:rsidTr="00802BFA">
        <w:tc>
          <w:tcPr>
            <w:tcW w:w="5665" w:type="dxa"/>
            <w:shd w:val="clear" w:color="auto" w:fill="FDE9D9" w:themeFill="accent6" w:themeFillTint="33"/>
          </w:tcPr>
          <w:p w:rsidR="00EE74F8" w:rsidRPr="000C5F6D" w:rsidRDefault="00EE74F8" w:rsidP="00D3729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Social Media, School Leaders &amp; Ethics</w:t>
            </w:r>
          </w:p>
          <w:p w:rsidR="00EE74F8" w:rsidRPr="000C5F6D" w:rsidRDefault="00EE74F8" w:rsidP="00675F31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(</w:t>
            </w:r>
            <w:r w:rsidR="00675F31">
              <w:rPr>
                <w:sz w:val="17"/>
                <w:szCs w:val="17"/>
              </w:rPr>
              <w:t>meets</w:t>
            </w:r>
            <w:r w:rsidRPr="000C5F6D">
              <w:rPr>
                <w:sz w:val="17"/>
                <w:szCs w:val="17"/>
              </w:rPr>
              <w:t xml:space="preserve"> toward annual ethics training  requirement)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EE74F8" w:rsidRPr="000C5F6D" w:rsidRDefault="00EE74F8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EE74F8" w:rsidRPr="000C5F6D" w:rsidRDefault="00EE74F8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EE74F8" w:rsidRPr="000C5F6D" w:rsidRDefault="00EE74F8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262D32" w:rsidRPr="000C5F6D" w:rsidTr="00802BFA">
        <w:tc>
          <w:tcPr>
            <w:tcW w:w="5665" w:type="dxa"/>
            <w:shd w:val="clear" w:color="auto" w:fill="FDE9D9" w:themeFill="accent6" w:themeFillTint="33"/>
          </w:tcPr>
          <w:p w:rsidR="00262D32" w:rsidRDefault="00262D32" w:rsidP="006A77A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Ethics &amp; the School Board Meeting (Online)</w:t>
            </w:r>
          </w:p>
          <w:p w:rsidR="00262D32" w:rsidRPr="000C5F6D" w:rsidRDefault="00262D32" w:rsidP="00675F31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(</w:t>
            </w:r>
            <w:r w:rsidR="00675F31">
              <w:rPr>
                <w:sz w:val="17"/>
                <w:szCs w:val="17"/>
              </w:rPr>
              <w:t>meets</w:t>
            </w:r>
            <w:r w:rsidRPr="000C5F6D">
              <w:rPr>
                <w:sz w:val="17"/>
                <w:szCs w:val="17"/>
              </w:rPr>
              <w:t xml:space="preserve"> toward annual ethics training  requirement)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262D32" w:rsidRPr="000C5F6D" w:rsidRDefault="00262D32" w:rsidP="006A77A9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262D32" w:rsidRPr="000C5F6D" w:rsidRDefault="00262D32" w:rsidP="006A77A9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262D32" w:rsidRPr="000C5F6D" w:rsidRDefault="00262D32" w:rsidP="006A77A9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DF7E1C" w:rsidRPr="000C5F6D" w:rsidTr="00802BFA">
        <w:tc>
          <w:tcPr>
            <w:tcW w:w="5665" w:type="dxa"/>
            <w:shd w:val="clear" w:color="auto" w:fill="FDE9D9" w:themeFill="accent6" w:themeFillTint="33"/>
          </w:tcPr>
          <w:p w:rsidR="00DF7E1C" w:rsidRPr="000C5F6D" w:rsidRDefault="00DF7E1C" w:rsidP="00D3729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Fundamental Finance</w:t>
            </w:r>
          </w:p>
          <w:p w:rsidR="00DF7E1C" w:rsidRPr="000C5F6D" w:rsidRDefault="00384552" w:rsidP="00D3729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(counts toward annual</w:t>
            </w:r>
            <w:r w:rsidR="00DF7E1C" w:rsidRPr="000C5F6D">
              <w:rPr>
                <w:sz w:val="17"/>
                <w:szCs w:val="17"/>
              </w:rPr>
              <w:t xml:space="preserve"> finance training  requirement)</w:t>
            </w:r>
          </w:p>
        </w:tc>
        <w:tc>
          <w:tcPr>
            <w:tcW w:w="1260" w:type="dxa"/>
            <w:shd w:val="clear" w:color="auto" w:fill="FDE9D9" w:themeFill="accent6" w:themeFillTint="33"/>
            <w:vAlign w:val="center"/>
          </w:tcPr>
          <w:p w:rsidR="00DF7E1C" w:rsidRPr="000C5F6D" w:rsidRDefault="00DF7E1C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  <w:vAlign w:val="center"/>
          </w:tcPr>
          <w:p w:rsidR="00DF7E1C" w:rsidRPr="000C5F6D" w:rsidRDefault="00DF7E1C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</w:t>
            </w:r>
            <w:r w:rsidR="00D61D8E" w:rsidRPr="000C5F6D">
              <w:rPr>
                <w:sz w:val="17"/>
                <w:szCs w:val="17"/>
              </w:rPr>
              <w:t>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DF7E1C" w:rsidRPr="000C5F6D" w:rsidRDefault="00DF7E1C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656A95" w:rsidRPr="000C5F6D" w:rsidTr="00802BFA">
        <w:tc>
          <w:tcPr>
            <w:tcW w:w="5665" w:type="dxa"/>
            <w:shd w:val="clear" w:color="auto" w:fill="FDE9D9" w:themeFill="accent6" w:themeFillTint="33"/>
          </w:tcPr>
          <w:p w:rsidR="00656A95" w:rsidRDefault="00656A95" w:rsidP="00D372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District Finance Report Card</w:t>
            </w:r>
          </w:p>
          <w:p w:rsidR="00656A95" w:rsidRPr="000C5F6D" w:rsidRDefault="00656A95" w:rsidP="00D372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(counts toward annual finance training requirement)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656A95" w:rsidRPr="000C5F6D" w:rsidRDefault="00656A95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56A95" w:rsidRPr="000C5F6D" w:rsidRDefault="00656A95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656A95" w:rsidRPr="000C5F6D" w:rsidRDefault="00656A95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EA5511" w:rsidRPr="000C5F6D" w:rsidTr="00802BFA">
        <w:tc>
          <w:tcPr>
            <w:tcW w:w="5665" w:type="dxa"/>
            <w:shd w:val="clear" w:color="auto" w:fill="FDE9D9" w:themeFill="accent6" w:themeFillTint="33"/>
          </w:tcPr>
          <w:p w:rsidR="00EA5511" w:rsidRDefault="00EA5511" w:rsidP="00D372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Activity Funds </w:t>
            </w:r>
            <w:r w:rsidR="00BB00B2">
              <w:rPr>
                <w:sz w:val="17"/>
                <w:szCs w:val="17"/>
              </w:rPr>
              <w:t xml:space="preserve">&amp; the Local Board of Education </w:t>
            </w:r>
            <w:bookmarkStart w:id="1" w:name="_GoBack"/>
            <w:bookmarkEnd w:id="1"/>
            <w:r w:rsidR="009C6879">
              <w:rPr>
                <w:sz w:val="17"/>
                <w:szCs w:val="17"/>
              </w:rPr>
              <w:t>(Online)</w:t>
            </w:r>
          </w:p>
          <w:p w:rsidR="00493363" w:rsidRDefault="00493363" w:rsidP="00D372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(counts toward annual finance training requirement)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A5511" w:rsidRDefault="00EA5511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EA5511" w:rsidRDefault="00EA5511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EA5511" w:rsidRPr="000C5F6D" w:rsidRDefault="00EA5511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EA5511" w:rsidRPr="000C5F6D" w:rsidTr="00802BFA">
        <w:tc>
          <w:tcPr>
            <w:tcW w:w="5665" w:type="dxa"/>
            <w:shd w:val="clear" w:color="auto" w:fill="FDE9D9" w:themeFill="accent6" w:themeFillTint="33"/>
          </w:tcPr>
          <w:p w:rsidR="00EA5511" w:rsidRDefault="00EA5511" w:rsidP="00D372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Financial Oversight and the Lo</w:t>
            </w:r>
            <w:r w:rsidR="00675F31">
              <w:rPr>
                <w:sz w:val="17"/>
                <w:szCs w:val="17"/>
              </w:rPr>
              <w:t>cal School Board</w:t>
            </w:r>
          </w:p>
          <w:p w:rsidR="00493363" w:rsidRDefault="00493363" w:rsidP="00D372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(counts toward annual finance training requirement)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A5511" w:rsidRDefault="00EA5511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EA5511" w:rsidRDefault="00EA5511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EA5511" w:rsidRPr="000C5F6D" w:rsidRDefault="00EA5511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6878E0" w:rsidRPr="000C5F6D" w:rsidTr="00802BFA">
        <w:tc>
          <w:tcPr>
            <w:tcW w:w="5665" w:type="dxa"/>
            <w:shd w:val="clear" w:color="auto" w:fill="FDE9D9" w:themeFill="accent6" w:themeFillTint="33"/>
          </w:tcPr>
          <w:p w:rsidR="006878E0" w:rsidRDefault="006878E0" w:rsidP="00D372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Model Procurement for School Districts</w:t>
            </w:r>
          </w:p>
          <w:p w:rsidR="006878E0" w:rsidRPr="000C5F6D" w:rsidRDefault="006878E0" w:rsidP="00D3729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(counts toward annual finance training requirement)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6878E0" w:rsidRPr="000C5F6D" w:rsidRDefault="006878E0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.50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6878E0" w:rsidRPr="000C5F6D" w:rsidRDefault="006878E0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$30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6878E0" w:rsidRPr="000C5F6D" w:rsidRDefault="006878E0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FF3E44" w:rsidRPr="000C5F6D" w:rsidTr="00802BFA">
        <w:tc>
          <w:tcPr>
            <w:tcW w:w="5665" w:type="dxa"/>
            <w:shd w:val="clear" w:color="auto" w:fill="FDE9D9" w:themeFill="accent6" w:themeFillTint="33"/>
          </w:tcPr>
          <w:p w:rsidR="00FF3E44" w:rsidRPr="000C5F6D" w:rsidRDefault="00FF3E44" w:rsidP="00D3729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Nickel Facts</w:t>
            </w:r>
          </w:p>
          <w:p w:rsidR="00FF3E44" w:rsidRPr="000C5F6D" w:rsidRDefault="00FF3E44" w:rsidP="00D3729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(counts toward annual finance training requirement)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FF3E44" w:rsidRPr="000C5F6D" w:rsidRDefault="00FF3E44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.50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FF3E44" w:rsidRPr="000C5F6D" w:rsidRDefault="00FF3E44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</w:t>
            </w:r>
            <w:r w:rsidR="00D61D8E" w:rsidRPr="000C5F6D">
              <w:rPr>
                <w:sz w:val="17"/>
                <w:szCs w:val="17"/>
              </w:rPr>
              <w:t>30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FF3E44" w:rsidRPr="000C5F6D" w:rsidRDefault="00FF3E44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C5F6D" w:rsidRPr="000C5F6D" w:rsidTr="00802BFA">
        <w:tc>
          <w:tcPr>
            <w:tcW w:w="5665" w:type="dxa"/>
            <w:shd w:val="clear" w:color="auto" w:fill="FDE9D9" w:themeFill="accent6" w:themeFillTint="33"/>
          </w:tcPr>
          <w:p w:rsidR="000C5F6D" w:rsidRPr="000C5F6D" w:rsidRDefault="000C5F6D" w:rsidP="00D3729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State Education Funding</w:t>
            </w:r>
          </w:p>
          <w:p w:rsidR="000C5F6D" w:rsidRPr="000C5F6D" w:rsidRDefault="000C5F6D" w:rsidP="00D3729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(counts toward annual finance training requirement)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0C5F6D" w:rsidRPr="000C5F6D" w:rsidRDefault="000C5F6D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.50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0C5F6D" w:rsidRPr="000C5F6D" w:rsidRDefault="000C5F6D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$30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0C5F6D" w:rsidRPr="000C5F6D" w:rsidRDefault="000C5F6D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384552" w:rsidRPr="000C5F6D" w:rsidTr="00802BFA">
        <w:tc>
          <w:tcPr>
            <w:tcW w:w="5665" w:type="dxa"/>
            <w:shd w:val="clear" w:color="auto" w:fill="FDE9D9" w:themeFill="accent6" w:themeFillTint="33"/>
          </w:tcPr>
          <w:p w:rsidR="00384552" w:rsidRPr="000C5F6D" w:rsidRDefault="00384552" w:rsidP="00D3729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Superintendent Evaluation</w:t>
            </w:r>
          </w:p>
          <w:p w:rsidR="00384552" w:rsidRPr="000C5F6D" w:rsidRDefault="00384552" w:rsidP="00675F31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(</w:t>
            </w:r>
            <w:r w:rsidR="00675F31">
              <w:rPr>
                <w:sz w:val="17"/>
                <w:szCs w:val="17"/>
              </w:rPr>
              <w:t>meets</w:t>
            </w:r>
            <w:r w:rsidRPr="000C5F6D">
              <w:rPr>
                <w:sz w:val="17"/>
                <w:szCs w:val="17"/>
              </w:rPr>
              <w:t xml:space="preserve">  annual superintendent eval. training  requirement)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384552" w:rsidRPr="000C5F6D" w:rsidRDefault="00384552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384552" w:rsidRPr="000C5F6D" w:rsidRDefault="00384552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</w:t>
            </w:r>
            <w:r w:rsidR="00D61D8E" w:rsidRPr="000C5F6D">
              <w:rPr>
                <w:sz w:val="17"/>
                <w:szCs w:val="17"/>
              </w:rPr>
              <w:t>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384552" w:rsidRPr="000C5F6D" w:rsidRDefault="00384552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EE74F8" w:rsidRPr="000C5F6D" w:rsidTr="00802BFA">
        <w:tc>
          <w:tcPr>
            <w:tcW w:w="5665" w:type="dxa"/>
            <w:shd w:val="clear" w:color="auto" w:fill="FDE9D9" w:themeFill="accent6" w:themeFillTint="33"/>
          </w:tcPr>
          <w:p w:rsidR="00EE74F8" w:rsidRPr="000C5F6D" w:rsidRDefault="00EE74F8" w:rsidP="00D3729C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The Board &amp; the New Superintendent Evaluation Process</w:t>
            </w:r>
          </w:p>
          <w:p w:rsidR="00EE74F8" w:rsidRPr="000C5F6D" w:rsidRDefault="00EE74F8" w:rsidP="00675F31">
            <w:pPr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(</w:t>
            </w:r>
            <w:r w:rsidR="00675F31">
              <w:rPr>
                <w:sz w:val="17"/>
                <w:szCs w:val="17"/>
              </w:rPr>
              <w:t>meets</w:t>
            </w:r>
            <w:r w:rsidRPr="000C5F6D">
              <w:rPr>
                <w:sz w:val="17"/>
                <w:szCs w:val="17"/>
              </w:rPr>
              <w:t xml:space="preserve"> annual superintendent eval. training  requirement)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EE74F8" w:rsidRPr="000C5F6D" w:rsidRDefault="00EE74F8" w:rsidP="00D3729C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EE74F8" w:rsidRPr="000C5F6D" w:rsidRDefault="00EE74F8" w:rsidP="00D61D8E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EE74F8" w:rsidRPr="000C5F6D" w:rsidRDefault="00EE74F8" w:rsidP="00D3729C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  <w:shd w:val="clear" w:color="auto" w:fill="FDE9D9" w:themeFill="accent6" w:themeFillTint="33"/>
          </w:tcPr>
          <w:p w:rsidR="000310F0" w:rsidRPr="000C5F6D" w:rsidRDefault="000310F0" w:rsidP="00675F3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Evaluating The Superintendent </w:t>
            </w:r>
            <w:r w:rsidR="00493363"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Looking Back &amp; Moving Forward</w:t>
            </w:r>
            <w:r w:rsidR="00493363">
              <w:rPr>
                <w:sz w:val="17"/>
                <w:szCs w:val="17"/>
              </w:rPr>
              <w:t xml:space="preserve"> (Online) </w:t>
            </w:r>
            <w:r w:rsidR="00675F31">
              <w:rPr>
                <w:sz w:val="17"/>
                <w:szCs w:val="17"/>
              </w:rPr>
              <w:t>meets</w:t>
            </w:r>
            <w:r w:rsidRPr="000C5F6D">
              <w:rPr>
                <w:sz w:val="17"/>
                <w:szCs w:val="17"/>
              </w:rPr>
              <w:t xml:space="preserve"> annual superintend</w:t>
            </w:r>
            <w:r w:rsidR="00493363">
              <w:rPr>
                <w:sz w:val="17"/>
                <w:szCs w:val="17"/>
              </w:rPr>
              <w:t>ent eval. training  requirement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Parliamentary Procedures for School Boards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Superintendent and their Boards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Kentucky STEM Imperative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School Safety and Risk Control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Relationships on the School Board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Communicating with School Stakeholders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The Basics of Lobbying-What to Do &amp; What Not to Do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Leadership at the School Board Meeting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2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$80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The Role of the Board in Pre-Kindergarten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Teaching &amp; Learning in the 21</w:t>
            </w:r>
            <w:r w:rsidRPr="000C5F6D">
              <w:rPr>
                <w:sz w:val="17"/>
                <w:szCs w:val="17"/>
                <w:vertAlign w:val="superscript"/>
              </w:rPr>
              <w:t>st</w:t>
            </w:r>
            <w:r w:rsidRPr="000C5F6D">
              <w:rPr>
                <w:sz w:val="17"/>
                <w:szCs w:val="17"/>
              </w:rPr>
              <w:t xml:space="preserve"> Century</w:t>
            </w:r>
          </w:p>
        </w:tc>
        <w:tc>
          <w:tcPr>
            <w:tcW w:w="126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2</w:t>
            </w:r>
          </w:p>
        </w:tc>
        <w:tc>
          <w:tcPr>
            <w:tcW w:w="810" w:type="dxa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$80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Alternative Education: Kentucky’s Customized Solution</w:t>
            </w:r>
          </w:p>
        </w:tc>
        <w:tc>
          <w:tcPr>
            <w:tcW w:w="126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What Works in High Performing, High Poverty Schools</w:t>
            </w:r>
          </w:p>
        </w:tc>
        <w:tc>
          <w:tcPr>
            <w:tcW w:w="126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Health and Student Achievement</w:t>
            </w:r>
          </w:p>
        </w:tc>
        <w:tc>
          <w:tcPr>
            <w:tcW w:w="126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Bullying &amp; Harassment</w:t>
            </w:r>
          </w:p>
        </w:tc>
        <w:tc>
          <w:tcPr>
            <w:tcW w:w="126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Competency Based Education</w:t>
            </w:r>
          </w:p>
        </w:tc>
        <w:tc>
          <w:tcPr>
            <w:tcW w:w="126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Connecting with the Community</w:t>
            </w:r>
          </w:p>
        </w:tc>
        <w:tc>
          <w:tcPr>
            <w:tcW w:w="126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  <w:tr w:rsidR="000310F0" w:rsidRPr="000C5F6D" w:rsidTr="00802BFA">
        <w:tc>
          <w:tcPr>
            <w:tcW w:w="5665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School Board Governance</w:t>
            </w:r>
          </w:p>
        </w:tc>
        <w:tc>
          <w:tcPr>
            <w:tcW w:w="126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1</w:t>
            </w:r>
          </w:p>
        </w:tc>
        <w:tc>
          <w:tcPr>
            <w:tcW w:w="810" w:type="dxa"/>
            <w:vAlign w:val="center"/>
          </w:tcPr>
          <w:p w:rsidR="000310F0" w:rsidRPr="000C5F6D" w:rsidRDefault="000310F0" w:rsidP="000310F0">
            <w:pPr>
              <w:spacing w:beforeLines="40" w:before="96"/>
              <w:jc w:val="center"/>
              <w:rPr>
                <w:sz w:val="17"/>
                <w:szCs w:val="17"/>
              </w:rPr>
            </w:pPr>
            <w:r w:rsidRPr="000C5F6D">
              <w:rPr>
                <w:sz w:val="17"/>
                <w:szCs w:val="17"/>
              </w:rPr>
              <w:t>$40</w:t>
            </w:r>
          </w:p>
        </w:tc>
        <w:tc>
          <w:tcPr>
            <w:tcW w:w="3060" w:type="dxa"/>
          </w:tcPr>
          <w:p w:rsidR="000310F0" w:rsidRPr="000C5F6D" w:rsidRDefault="000310F0" w:rsidP="000310F0">
            <w:pPr>
              <w:spacing w:beforeLines="40" w:before="96"/>
              <w:rPr>
                <w:sz w:val="17"/>
                <w:szCs w:val="17"/>
              </w:rPr>
            </w:pPr>
          </w:p>
        </w:tc>
      </w:tr>
    </w:tbl>
    <w:p w:rsidR="00680971" w:rsidRPr="00802BFA" w:rsidRDefault="00044518" w:rsidP="00B92A37">
      <w:pPr>
        <w:rPr>
          <w:sz w:val="16"/>
          <w:szCs w:val="16"/>
        </w:rPr>
      </w:pPr>
      <w:r w:rsidRPr="00802BFA">
        <w:rPr>
          <w:b/>
          <w:sz w:val="16"/>
          <w:szCs w:val="16"/>
        </w:rPr>
        <w:t>Please check the method in which you would like to receive the self-studies:  _____email  _____U.S.P.S. (regular mail)</w:t>
      </w:r>
      <w:r w:rsidRPr="00802BFA">
        <w:rPr>
          <w:sz w:val="16"/>
          <w:szCs w:val="16"/>
        </w:rPr>
        <w:t xml:space="preserve"> </w:t>
      </w:r>
    </w:p>
    <w:p w:rsidR="00D3729C" w:rsidRPr="00802BFA" w:rsidRDefault="00D3729C" w:rsidP="00B92A37">
      <w:pPr>
        <w:rPr>
          <w:sz w:val="6"/>
          <w:szCs w:val="6"/>
        </w:rPr>
      </w:pPr>
    </w:p>
    <w:p w:rsidR="00EB17FE" w:rsidRPr="00802BFA" w:rsidRDefault="00044518" w:rsidP="00B92A37">
      <w:pPr>
        <w:rPr>
          <w:b/>
          <w:sz w:val="16"/>
          <w:szCs w:val="16"/>
        </w:rPr>
      </w:pPr>
      <w:r w:rsidRPr="00802BFA">
        <w:rPr>
          <w:b/>
          <w:sz w:val="16"/>
          <w:szCs w:val="16"/>
          <w:u w:val="single"/>
        </w:rPr>
        <w:t>Please check one of the following forms of payment:</w:t>
      </w:r>
      <w:r w:rsidRPr="00802BFA">
        <w:rPr>
          <w:sz w:val="16"/>
          <w:szCs w:val="16"/>
        </w:rPr>
        <w:br/>
        <w:t xml:space="preserve">_____Bill my district for the total amount due </w:t>
      </w:r>
      <w:r w:rsidRPr="00802BFA">
        <w:rPr>
          <w:sz w:val="16"/>
          <w:szCs w:val="16"/>
        </w:rPr>
        <w:br/>
        <w:t>_____Check #_____ will be mailed directly to KSBA at 260 Democrat Drive, Frankfort, KY 40601</w:t>
      </w:r>
      <w:r w:rsidRPr="00802BFA">
        <w:rPr>
          <w:sz w:val="16"/>
          <w:szCs w:val="16"/>
        </w:rPr>
        <w:br/>
        <w:t>_____Bill my credit card #_____________________, Exp</w:t>
      </w:r>
      <w:r w:rsidR="006C65DA" w:rsidRPr="00802BFA">
        <w:rPr>
          <w:sz w:val="16"/>
          <w:szCs w:val="16"/>
        </w:rPr>
        <w:t>iration Date</w:t>
      </w:r>
      <w:r w:rsidRPr="00802BFA">
        <w:rPr>
          <w:sz w:val="16"/>
          <w:szCs w:val="16"/>
        </w:rPr>
        <w:t>____</w:t>
      </w:r>
      <w:r w:rsidR="006C65DA" w:rsidRPr="00802BFA">
        <w:rPr>
          <w:sz w:val="16"/>
          <w:szCs w:val="16"/>
        </w:rPr>
        <w:t>______</w:t>
      </w:r>
      <w:r w:rsidRPr="00802BFA">
        <w:rPr>
          <w:sz w:val="16"/>
          <w:szCs w:val="16"/>
        </w:rPr>
        <w:t>_</w:t>
      </w:r>
      <w:r w:rsidR="006C65DA" w:rsidRPr="00802BFA">
        <w:rPr>
          <w:sz w:val="16"/>
          <w:szCs w:val="16"/>
        </w:rPr>
        <w:t xml:space="preserve">__________(mm/yy), Zip Code </w:t>
      </w:r>
      <w:r w:rsidR="006C65DA" w:rsidRPr="00802BFA">
        <w:rPr>
          <w:sz w:val="16"/>
          <w:szCs w:val="16"/>
          <w:u w:val="single"/>
        </w:rPr>
        <w:tab/>
      </w:r>
      <w:r w:rsidR="006C65DA" w:rsidRPr="00802BFA">
        <w:rPr>
          <w:sz w:val="16"/>
          <w:szCs w:val="16"/>
          <w:u w:val="single"/>
        </w:rPr>
        <w:tab/>
      </w:r>
      <w:r w:rsidRPr="00802BFA">
        <w:rPr>
          <w:sz w:val="16"/>
          <w:szCs w:val="16"/>
        </w:rPr>
        <w:br/>
      </w:r>
      <w:r w:rsidRPr="00802BFA">
        <w:rPr>
          <w:sz w:val="16"/>
          <w:szCs w:val="16"/>
        </w:rPr>
        <w:tab/>
      </w:r>
      <w:r w:rsidRPr="00802BFA">
        <w:rPr>
          <w:sz w:val="16"/>
          <w:szCs w:val="16"/>
        </w:rPr>
        <w:tab/>
      </w:r>
      <w:r w:rsidRPr="00802BFA">
        <w:rPr>
          <w:sz w:val="16"/>
          <w:szCs w:val="16"/>
        </w:rPr>
        <w:tab/>
      </w:r>
      <w:r w:rsidRPr="00802BFA">
        <w:rPr>
          <w:b/>
          <w:sz w:val="16"/>
          <w:szCs w:val="16"/>
        </w:rPr>
        <w:t xml:space="preserve">Please fax to:  </w:t>
      </w:r>
      <w:r w:rsidR="00524220" w:rsidRPr="00802BFA">
        <w:rPr>
          <w:b/>
          <w:sz w:val="16"/>
          <w:szCs w:val="16"/>
        </w:rPr>
        <w:t>Tammie Conatser</w:t>
      </w:r>
      <w:r w:rsidRPr="00802BFA">
        <w:rPr>
          <w:b/>
          <w:sz w:val="16"/>
          <w:szCs w:val="16"/>
        </w:rPr>
        <w:t xml:space="preserve"> at (502) 783-1</w:t>
      </w:r>
      <w:r w:rsidR="00524220" w:rsidRPr="00802BFA">
        <w:rPr>
          <w:b/>
          <w:sz w:val="16"/>
          <w:szCs w:val="16"/>
        </w:rPr>
        <w:t>182</w:t>
      </w:r>
      <w:r w:rsidRPr="00802BFA">
        <w:rPr>
          <w:b/>
          <w:sz w:val="16"/>
          <w:szCs w:val="16"/>
        </w:rPr>
        <w:t xml:space="preserve"> or email to </w:t>
      </w:r>
      <w:r w:rsidR="00524220" w:rsidRPr="00802BFA">
        <w:rPr>
          <w:b/>
          <w:sz w:val="16"/>
          <w:szCs w:val="16"/>
        </w:rPr>
        <w:t xml:space="preserve">Tammie.Conatser@ksba.org  </w:t>
      </w:r>
    </w:p>
    <w:sectPr w:rsidR="00EB17FE" w:rsidRPr="00802BFA" w:rsidSect="00F24FF4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61" w:rsidRDefault="00D85961" w:rsidP="00A2599F">
      <w:r>
        <w:separator/>
      </w:r>
    </w:p>
  </w:endnote>
  <w:endnote w:type="continuationSeparator" w:id="0">
    <w:p w:rsidR="00D85961" w:rsidRDefault="00D85961" w:rsidP="00A2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61" w:rsidRDefault="00D85961" w:rsidP="00A2599F">
      <w:r>
        <w:separator/>
      </w:r>
    </w:p>
  </w:footnote>
  <w:footnote w:type="continuationSeparator" w:id="0">
    <w:p w:rsidR="00D85961" w:rsidRDefault="00D85961" w:rsidP="00A25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AD0BD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78"/>
    <w:rsid w:val="00005FA3"/>
    <w:rsid w:val="00006AC1"/>
    <w:rsid w:val="00017337"/>
    <w:rsid w:val="000310F0"/>
    <w:rsid w:val="00044518"/>
    <w:rsid w:val="0005282C"/>
    <w:rsid w:val="0008008B"/>
    <w:rsid w:val="000C5F6D"/>
    <w:rsid w:val="000D73F5"/>
    <w:rsid w:val="0019114A"/>
    <w:rsid w:val="001B52FD"/>
    <w:rsid w:val="001C10FA"/>
    <w:rsid w:val="001F30DD"/>
    <w:rsid w:val="002316AD"/>
    <w:rsid w:val="0024642E"/>
    <w:rsid w:val="00262D32"/>
    <w:rsid w:val="002B46A4"/>
    <w:rsid w:val="0031658C"/>
    <w:rsid w:val="00331846"/>
    <w:rsid w:val="00344AA6"/>
    <w:rsid w:val="00356D52"/>
    <w:rsid w:val="00356F1D"/>
    <w:rsid w:val="00360AA3"/>
    <w:rsid w:val="003826E7"/>
    <w:rsid w:val="00384552"/>
    <w:rsid w:val="003E4FF4"/>
    <w:rsid w:val="00422694"/>
    <w:rsid w:val="00440F8F"/>
    <w:rsid w:val="00493363"/>
    <w:rsid w:val="00493F18"/>
    <w:rsid w:val="00524220"/>
    <w:rsid w:val="00563FED"/>
    <w:rsid w:val="00566E78"/>
    <w:rsid w:val="0059410D"/>
    <w:rsid w:val="005C4756"/>
    <w:rsid w:val="00656A95"/>
    <w:rsid w:val="00675F31"/>
    <w:rsid w:val="00680971"/>
    <w:rsid w:val="006878E0"/>
    <w:rsid w:val="0069238D"/>
    <w:rsid w:val="006A0F1D"/>
    <w:rsid w:val="006C65DA"/>
    <w:rsid w:val="006D6F1A"/>
    <w:rsid w:val="007526C8"/>
    <w:rsid w:val="0077101A"/>
    <w:rsid w:val="00777A17"/>
    <w:rsid w:val="007A0B08"/>
    <w:rsid w:val="007A2FBE"/>
    <w:rsid w:val="008029B2"/>
    <w:rsid w:val="00802BFA"/>
    <w:rsid w:val="0082647B"/>
    <w:rsid w:val="008303B0"/>
    <w:rsid w:val="00861ED3"/>
    <w:rsid w:val="00867C9C"/>
    <w:rsid w:val="00876A8B"/>
    <w:rsid w:val="008B7C34"/>
    <w:rsid w:val="008E3A03"/>
    <w:rsid w:val="009203F1"/>
    <w:rsid w:val="00937992"/>
    <w:rsid w:val="00984D94"/>
    <w:rsid w:val="009913FB"/>
    <w:rsid w:val="009C5243"/>
    <w:rsid w:val="009C6879"/>
    <w:rsid w:val="009C708C"/>
    <w:rsid w:val="00A2599F"/>
    <w:rsid w:val="00A81DC4"/>
    <w:rsid w:val="00AA4870"/>
    <w:rsid w:val="00AD0298"/>
    <w:rsid w:val="00AF4FE8"/>
    <w:rsid w:val="00B24318"/>
    <w:rsid w:val="00B63D8C"/>
    <w:rsid w:val="00B87530"/>
    <w:rsid w:val="00B9103C"/>
    <w:rsid w:val="00B92A37"/>
    <w:rsid w:val="00B97184"/>
    <w:rsid w:val="00BA68FE"/>
    <w:rsid w:val="00BA7E78"/>
    <w:rsid w:val="00BB00B2"/>
    <w:rsid w:val="00BE581F"/>
    <w:rsid w:val="00C009C9"/>
    <w:rsid w:val="00CA5730"/>
    <w:rsid w:val="00CB2835"/>
    <w:rsid w:val="00CB6E16"/>
    <w:rsid w:val="00D05420"/>
    <w:rsid w:val="00D15E39"/>
    <w:rsid w:val="00D3729C"/>
    <w:rsid w:val="00D540E6"/>
    <w:rsid w:val="00D55452"/>
    <w:rsid w:val="00D61D8E"/>
    <w:rsid w:val="00D75A53"/>
    <w:rsid w:val="00D8012C"/>
    <w:rsid w:val="00D84A97"/>
    <w:rsid w:val="00D85961"/>
    <w:rsid w:val="00DE2D0D"/>
    <w:rsid w:val="00DF7E1C"/>
    <w:rsid w:val="00E20050"/>
    <w:rsid w:val="00E340FA"/>
    <w:rsid w:val="00E55137"/>
    <w:rsid w:val="00E8041C"/>
    <w:rsid w:val="00E87207"/>
    <w:rsid w:val="00E93C7A"/>
    <w:rsid w:val="00EA5511"/>
    <w:rsid w:val="00EA64FA"/>
    <w:rsid w:val="00EB17FE"/>
    <w:rsid w:val="00EB1DC0"/>
    <w:rsid w:val="00EC701B"/>
    <w:rsid w:val="00EE5B45"/>
    <w:rsid w:val="00EE74F8"/>
    <w:rsid w:val="00F24FF4"/>
    <w:rsid w:val="00F36359"/>
    <w:rsid w:val="00F95B25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4B79A1-B66B-4CEE-BBD5-F30297E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E7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7E7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E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FE"/>
    <w:rPr>
      <w:color w:val="800080" w:themeColor="followedHyperlink"/>
      <w:u w:val="single"/>
    </w:rPr>
  </w:style>
  <w:style w:type="paragraph" w:styleId="ListBullet">
    <w:name w:val="List Bullet"/>
    <w:basedOn w:val="Normal"/>
    <w:rsid w:val="00EB17F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99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99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ks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CD96-2048-4029-9157-D72F0308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KSBA</Company>
  <LinksUpToDate>false</LinksUpToDate>
  <CharactersWithSpaces>6231</CharactersWithSpaces>
  <SharedDoc>false</SharedDoc>
  <HLinks>
    <vt:vector size="6" baseType="variant"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mailto:Kerri.Schelling@ksba.org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jcrowley</dc:creator>
  <cp:lastModifiedBy>Conatser, Tammie - KSBA</cp:lastModifiedBy>
  <cp:revision>4</cp:revision>
  <cp:lastPrinted>2016-12-08T15:49:00Z</cp:lastPrinted>
  <dcterms:created xsi:type="dcterms:W3CDTF">2017-06-12T16:34:00Z</dcterms:created>
  <dcterms:modified xsi:type="dcterms:W3CDTF">2017-11-01T18:26:00Z</dcterms:modified>
</cp:coreProperties>
</file>